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13</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6" w:name="_GoBack"/>
      <w:r>
        <w:rPr>
          <w:rFonts w:hint="eastAsia" w:ascii="Arial" w:hAnsi="Arial" w:cs="Arial"/>
          <w:b/>
          <w:sz w:val="24"/>
          <w:szCs w:val="24"/>
        </w:rPr>
        <w:t>R4-2</w:t>
      </w:r>
      <w:r>
        <w:rPr>
          <w:rFonts w:hint="eastAsia" w:ascii="Arial" w:hAnsi="Arial" w:cs="Arial"/>
          <w:b/>
          <w:sz w:val="24"/>
          <w:szCs w:val="24"/>
          <w:lang w:val="en-US" w:eastAsia="zh-CN"/>
        </w:rPr>
        <w:t>418509</w:t>
      </w:r>
      <w:bookmarkEnd w:id="6"/>
      <w:r>
        <w:rPr>
          <w:rFonts w:hint="eastAsia" w:ascii="Arial" w:hAnsi="Arial" w:cs="Arial"/>
          <w:b/>
          <w:sz w:val="24"/>
          <w:szCs w:val="24"/>
        </w:rPr>
        <w:t xml:space="preserve">                         </w:t>
      </w:r>
    </w:p>
    <w:p>
      <w:pPr>
        <w:tabs>
          <w:tab w:val="left" w:pos="1985"/>
        </w:tabs>
        <w:spacing w:before="157" w:beforeLines="50" w:after="0" w:afterLines="0"/>
        <w:ind w:left="1979" w:hanging="1979"/>
        <w:outlineLvl w:val="9"/>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Orlando, US, 18th – 22nd November, 2024</w:t>
      </w:r>
    </w:p>
    <w:p>
      <w:pPr>
        <w:tabs>
          <w:tab w:val="left" w:pos="1985"/>
        </w:tabs>
        <w:spacing w:before="157" w:beforeLines="50" w:after="0" w:afterLines="0"/>
        <w:ind w:left="1979" w:hanging="1979"/>
        <w:outlineLvl w:val="9"/>
        <w:rPr>
          <w:rFonts w:hint="eastAsia" w:ascii="Arial" w:hAnsi="Arial" w:eastAsia="Batang"/>
          <w:b/>
          <w:sz w:val="24"/>
          <w:szCs w:val="24"/>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sz w:val="24"/>
          <w:szCs w:val="24"/>
          <w:lang w:val="en-US" w:eastAsia="zh-CN"/>
        </w:rPr>
        <w:t>5.18.2</w:t>
      </w:r>
    </w:p>
    <w:p>
      <w:pPr>
        <w:tabs>
          <w:tab w:val="left" w:pos="1985"/>
        </w:tabs>
        <w:spacing w:before="157" w:beforeLines="50" w:after="0" w:afterLines="0"/>
        <w:ind w:left="1979" w:hanging="1979"/>
        <w:outlineLvl w:val="9"/>
        <w:rPr>
          <w:rFonts w:hint="eastAsia" w:ascii="Arial" w:hAnsi="Arial" w:cs="Arial"/>
          <w:b/>
          <w:sz w:val="24"/>
          <w:szCs w:val="24"/>
          <w:lang w:val="en-US" w:eastAsia="zh-CN"/>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before="157" w:beforeLines="50" w:after="0" w:afterLines="0"/>
        <w:ind w:left="1979" w:hanging="1979"/>
        <w:outlineLvl w:val="9"/>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eastAsia="en-US"/>
        </w:rPr>
        <w:t>Discussion on RRM requirements for multi-carrier enhancements</w:t>
      </w:r>
      <w:r>
        <w:rPr>
          <w:rFonts w:hint="eastAsia" w:ascii="Arial" w:hAnsi="Arial" w:cs="Arial"/>
          <w:b/>
          <w:sz w:val="24"/>
          <w:szCs w:val="24"/>
          <w:highlight w:val="none"/>
          <w:lang w:val="en-US" w:eastAsia="zh-CN"/>
        </w:rPr>
        <w:t xml:space="preserve"> </w:t>
      </w:r>
    </w:p>
    <w:p>
      <w:pPr>
        <w:tabs>
          <w:tab w:val="left" w:pos="1985"/>
        </w:tabs>
        <w:spacing w:before="157" w:beforeLines="50" w:after="0" w:afterLines="0"/>
        <w:ind w:left="1979" w:hanging="1979"/>
        <w:outlineLvl w:val="9"/>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widowControl/>
        <w:numPr>
          <w:ilvl w:val="-1"/>
          <w:numId w:val="0"/>
        </w:numPr>
        <w:overflowPunct/>
        <w:autoSpaceDE/>
        <w:autoSpaceDN/>
        <w:adjustRightInd/>
        <w:spacing w:after="0"/>
        <w:ind w:left="0" w:firstLine="0"/>
        <w:jc w:val="left"/>
        <w:textAlignment w:val="auto"/>
        <w:rPr>
          <w:rFonts w:hint="default" w:eastAsia="宋体"/>
          <w:sz w:val="20"/>
          <w:szCs w:val="20"/>
          <w:lang w:val="en-US" w:eastAsia="zh-CN"/>
        </w:rPr>
      </w:pPr>
      <w:bookmarkStart w:id="1" w:name="OLE_LINK35"/>
      <w:r>
        <w:rPr>
          <w:rFonts w:hint="eastAsia"/>
          <w:sz w:val="20"/>
          <w:szCs w:val="20"/>
          <w:lang w:val="en-US" w:eastAsia="zh-CN"/>
        </w:rPr>
        <w:t>In the last meeting, we discussed whether the UE shall report the same value between RAN4 features 6-3 and 38-9 and there were no consensus. In this contribution, we want to provide our view on this issue.</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0"/>
      <w:bookmarkStart w:id="3" w:name="OLE_LINK20"/>
      <w:bookmarkStart w:id="4" w:name="OLE_LINK13"/>
      <w:bookmarkStart w:id="5" w:name="OLE_LINK14"/>
      <w:r>
        <w:rPr>
          <w:rFonts w:hint="eastAsia" w:eastAsia="Times New Roman"/>
          <w:highlight w:val="none"/>
          <w:lang w:val="en-US" w:eastAsia="zh-CN"/>
        </w:rPr>
        <w:t xml:space="preserve"> </w:t>
      </w:r>
    </w:p>
    <w:p>
      <w:pPr>
        <w:tabs>
          <w:tab w:val="left" w:pos="1134"/>
        </w:tabs>
        <w:spacing w:before="163" w:beforeLines="50" w:after="120"/>
        <w:rPr>
          <w:rFonts w:hint="eastAsia"/>
          <w:sz w:val="20"/>
          <w:szCs w:val="20"/>
          <w:lang w:val="en-US" w:eastAsia="zh-CN"/>
        </w:rPr>
      </w:pPr>
      <w:r>
        <w:rPr>
          <w:rFonts w:hint="eastAsia"/>
          <w:sz w:val="20"/>
          <w:szCs w:val="20"/>
          <w:lang w:val="en-US" w:eastAsia="zh-CN"/>
        </w:rPr>
        <w:t>According to the agreed WF[1], there is a leftover issue should be discussed. This issue is about UE capability for switching between non-dormant and dormant BWPs triggered by the new DCI format 0-3 and 1-3 was introduced.</w:t>
      </w:r>
    </w:p>
    <w:p>
      <w:pPr>
        <w:tabs>
          <w:tab w:val="left" w:pos="1134"/>
        </w:tabs>
        <w:spacing w:before="163" w:beforeLines="50" w:after="120"/>
        <w:rPr>
          <w:rFonts w:hint="default"/>
          <w:sz w:val="20"/>
          <w:szCs w:val="20"/>
          <w:lang w:val="en-US" w:eastAsia="zh-CN"/>
        </w:rPr>
      </w:pPr>
      <w:r>
        <w:rPr>
          <w:rFonts w:hint="eastAsia"/>
          <w:sz w:val="20"/>
          <w:szCs w:val="20"/>
          <w:lang w:val="en-US" w:eastAsia="zh-CN"/>
        </w:rPr>
        <w:t>Based on the LS from RAN2, RAN4 should discuss whether the UE shall report the same value between RAN4 feature 6-3 and 38-9.</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snapToGrid w:val="0"/>
              <w:spacing w:before="0" w:after="120" w:line="240" w:lineRule="auto"/>
              <w:jc w:val="both"/>
              <w:rPr>
                <w:bCs/>
                <w:sz w:val="21"/>
                <w:szCs w:val="21"/>
                <w:lang w:eastAsia="ja-JP"/>
              </w:rPr>
            </w:pPr>
            <w:r>
              <w:rPr>
                <w:bCs/>
                <w:sz w:val="21"/>
                <w:szCs w:val="21"/>
                <w:lang w:eastAsia="ja-JP"/>
              </w:rPr>
              <w:t>RAN2 discussed the two options and concluded to down-select approach 2 because Approach 1 is a non-backward compatible change from RAN2 perspective.</w:t>
            </w:r>
          </w:p>
          <w:p>
            <w:pPr>
              <w:snapToGrid w:val="0"/>
              <w:spacing w:before="0" w:after="120" w:line="240" w:lineRule="auto"/>
              <w:jc w:val="both"/>
              <w:rPr>
                <w:sz w:val="21"/>
                <w:szCs w:val="21"/>
                <w:lang w:eastAsia="zh-CN"/>
              </w:rPr>
            </w:pPr>
            <w:r>
              <w:rPr>
                <w:bCs/>
                <w:sz w:val="21"/>
                <w:szCs w:val="21"/>
                <w:lang w:eastAsia="ja-JP"/>
              </w:rPr>
              <w:t xml:space="preserve">RAN2 introduced a field </w:t>
            </w:r>
            <w:r>
              <w:rPr>
                <w:bCs/>
                <w:i/>
                <w:iCs/>
                <w:sz w:val="21"/>
                <w:szCs w:val="21"/>
                <w:lang w:eastAsia="ja-JP"/>
              </w:rPr>
              <w:t>bwp-SwitchingMultiDormancyCC-DCI-0-3-And-1-3-r18</w:t>
            </w:r>
            <w:r>
              <w:rPr>
                <w:bCs/>
                <w:sz w:val="21"/>
                <w:szCs w:val="21"/>
                <w:lang w:eastAsia="ja-JP"/>
              </w:rPr>
              <w:t xml:space="preserve"> corresponding to RAN4 feature 38-9, and a field </w:t>
            </w:r>
            <w:r>
              <w:rPr>
                <w:bCs/>
                <w:i/>
                <w:iCs/>
                <w:sz w:val="21"/>
                <w:szCs w:val="21"/>
                <w:lang w:eastAsia="ja-JP"/>
              </w:rPr>
              <w:t>scellDormancyWithinActiveTime-DCI-0-3-And-1-3-r18</w:t>
            </w:r>
            <w:r>
              <w:rPr>
                <w:bCs/>
                <w:sz w:val="21"/>
                <w:szCs w:val="21"/>
                <w:lang w:eastAsia="ja-JP"/>
              </w:rPr>
              <w:t xml:space="preserve"> corresponding to its prerequisite feature (RAN1 feature 49-9). </w:t>
            </w:r>
            <w:r>
              <w:rPr>
                <w:bCs/>
                <w:sz w:val="21"/>
                <w:szCs w:val="21"/>
                <w:highlight w:val="yellow"/>
                <w:lang w:eastAsia="ja-JP"/>
              </w:rPr>
              <w:t>It is up to RAN4 whether the UE shall report the same value between RAN4 features 6-3 and 38-9.</w:t>
            </w:r>
            <w:r>
              <w:rPr>
                <w:rFonts w:eastAsia="等线"/>
                <w:sz w:val="21"/>
                <w:szCs w:val="21"/>
              </w:rPr>
              <w:t xml:space="preserve"> </w:t>
            </w:r>
          </w:p>
        </w:tc>
      </w:tr>
    </w:tbl>
    <w:p>
      <w:pPr>
        <w:tabs>
          <w:tab w:val="left" w:pos="1134"/>
        </w:tabs>
        <w:spacing w:before="163" w:beforeLines="50" w:after="120"/>
        <w:rPr>
          <w:rFonts w:hint="eastAsia"/>
          <w:sz w:val="20"/>
          <w:szCs w:val="20"/>
          <w:lang w:val="en-US" w:eastAsia="zh-CN"/>
        </w:rPr>
      </w:pPr>
      <w:r>
        <w:rPr>
          <w:rFonts w:hint="eastAsia"/>
          <w:sz w:val="20"/>
          <w:szCs w:val="20"/>
          <w:lang w:val="en-US" w:eastAsia="zh-CN"/>
        </w:rPr>
        <w:t>Based RAN4</w:t>
      </w:r>
      <w:r>
        <w:rPr>
          <w:rFonts w:hint="default"/>
          <w:sz w:val="20"/>
          <w:szCs w:val="20"/>
          <w:lang w:val="en-US" w:eastAsia="zh-CN"/>
        </w:rPr>
        <w:t>’</w:t>
      </w:r>
      <w:r>
        <w:rPr>
          <w:rFonts w:hint="eastAsia"/>
          <w:sz w:val="20"/>
          <w:szCs w:val="20"/>
          <w:lang w:val="en-US" w:eastAsia="zh-CN"/>
        </w:rPr>
        <w:t xml:space="preserve">s discussion in RAN4#111 meeting, RAN2 </w:t>
      </w:r>
      <w:r>
        <w:rPr>
          <w:bCs/>
          <w:sz w:val="21"/>
          <w:szCs w:val="21"/>
          <w:lang w:eastAsia="ja-JP"/>
        </w:rPr>
        <w:t>concluded to down-select approach 2</w:t>
      </w:r>
      <w:r>
        <w:rPr>
          <w:rFonts w:hint="eastAsia"/>
          <w:bCs/>
          <w:sz w:val="21"/>
          <w:szCs w:val="21"/>
          <w:lang w:val="en-US" w:eastAsia="zh-CN"/>
        </w:rPr>
        <w:t xml:space="preserve"> that</w:t>
      </w:r>
      <w:r>
        <w:rPr>
          <w:rFonts w:hint="eastAsia"/>
          <w:sz w:val="20"/>
          <w:szCs w:val="20"/>
          <w:lang w:val="en-US" w:eastAsia="zh-CN"/>
        </w:rPr>
        <w:t xml:space="preserve"> introduce a new Rel-18 UE capability. And define prerequisite feature group as 49-9 and add </w:t>
      </w:r>
      <w:r>
        <w:rPr>
          <w:rFonts w:hint="default"/>
          <w:sz w:val="20"/>
          <w:szCs w:val="20"/>
          <w:lang w:val="en-US" w:eastAsia="zh-CN"/>
        </w:rPr>
        <w:t>“</w:t>
      </w:r>
      <w:r>
        <w:rPr>
          <w:rFonts w:hint="eastAsia"/>
          <w:sz w:val="20"/>
          <w:szCs w:val="20"/>
          <w:lang w:val="en-US" w:eastAsia="zh-CN"/>
        </w:rPr>
        <w:t>with DCI 0-3/1-3</w:t>
      </w:r>
      <w:r>
        <w:rPr>
          <w:rFonts w:hint="default"/>
          <w:sz w:val="20"/>
          <w:szCs w:val="20"/>
          <w:lang w:val="en-US" w:eastAsia="zh-CN"/>
        </w:rPr>
        <w:t>”</w:t>
      </w:r>
      <w:r>
        <w:rPr>
          <w:rFonts w:hint="eastAsia"/>
          <w:sz w:val="20"/>
          <w:szCs w:val="20"/>
          <w:lang w:val="en-US" w:eastAsia="zh-CN"/>
        </w:rPr>
        <w:t xml:space="preserve"> in feature group.</w:t>
      </w:r>
    </w:p>
    <w:tbl>
      <w:tblPr>
        <w:tblStyle w:val="24"/>
        <w:tblW w:w="9179" w:type="dxa"/>
        <w:tblInd w:w="452" w:type="dxa"/>
        <w:shd w:val="clear" w:color="auto" w:fill="FFFFFF"/>
        <w:tblLayout w:type="autofit"/>
        <w:tblCellMar>
          <w:top w:w="0" w:type="dxa"/>
          <w:left w:w="108" w:type="dxa"/>
          <w:bottom w:w="0" w:type="dxa"/>
          <w:right w:w="108" w:type="dxa"/>
        </w:tblCellMar>
      </w:tblPr>
      <w:tblGrid>
        <w:gridCol w:w="1307"/>
        <w:gridCol w:w="841"/>
        <w:gridCol w:w="2204"/>
        <w:gridCol w:w="3268"/>
        <w:gridCol w:w="1559"/>
      </w:tblGrid>
      <w:tr>
        <w:tblPrEx>
          <w:shd w:val="clear" w:color="auto" w:fill="FFFFFF"/>
          <w:tblCellMar>
            <w:top w:w="0" w:type="dxa"/>
            <w:left w:w="108" w:type="dxa"/>
            <w:bottom w:w="0" w:type="dxa"/>
            <w:right w:w="108" w:type="dxa"/>
          </w:tblCellMar>
        </w:tblPrEx>
        <w:trPr>
          <w:trHeight w:val="431" w:hRule="atLeast"/>
        </w:trPr>
        <w:tc>
          <w:tcPr>
            <w:tcW w:w="1307" w:type="dxa"/>
            <w:tcBorders>
              <w:top w:val="single" w:color="ABABAB" w:sz="6" w:space="0"/>
              <w:left w:val="single" w:color="ABABAB" w:sz="6" w:space="0"/>
              <w:bottom w:val="single" w:color="ABABAB" w:sz="6" w:space="0"/>
              <w:right w:val="single" w:color="ABABAB" w:sz="6" w:space="0"/>
            </w:tcBorders>
            <w:shd w:val="clear" w:color="auto" w:fill="FFFFFF"/>
          </w:tcPr>
          <w:p>
            <w:pPr>
              <w:jc w:val="center"/>
              <w:rPr>
                <w:rFonts w:eastAsia="Microsoft YaHei UI"/>
                <w:sz w:val="18"/>
                <w:szCs w:val="18"/>
                <w:highlight w:val="green"/>
                <w:lang w:eastAsia="zh-TW"/>
              </w:rPr>
            </w:pPr>
            <w:r>
              <w:rPr>
                <w:rFonts w:eastAsia="Microsoft YaHei UI"/>
                <w:b/>
                <w:bCs/>
                <w:sz w:val="18"/>
                <w:szCs w:val="18"/>
                <w:highlight w:val="green"/>
                <w:lang w:eastAsia="zh-TW"/>
              </w:rPr>
              <w:t>Features </w:t>
            </w:r>
          </w:p>
        </w:tc>
        <w:tc>
          <w:tcPr>
            <w:tcW w:w="841" w:type="dxa"/>
            <w:tcBorders>
              <w:top w:val="single" w:color="ABABAB" w:sz="6" w:space="0"/>
              <w:left w:val="single" w:color="ABABAB" w:sz="6" w:space="0"/>
              <w:bottom w:val="single" w:color="ABABAB" w:sz="6" w:space="0"/>
              <w:right w:val="single" w:color="ABABAB" w:sz="6" w:space="0"/>
            </w:tcBorders>
            <w:shd w:val="clear" w:color="auto" w:fill="FFFFFF"/>
          </w:tcPr>
          <w:p>
            <w:pPr>
              <w:jc w:val="center"/>
              <w:rPr>
                <w:rFonts w:eastAsia="Microsoft YaHei UI"/>
                <w:sz w:val="18"/>
                <w:szCs w:val="18"/>
                <w:highlight w:val="green"/>
                <w:lang w:eastAsia="zh-TW"/>
              </w:rPr>
            </w:pPr>
            <w:r>
              <w:rPr>
                <w:rFonts w:eastAsia="Microsoft YaHei UI"/>
                <w:b/>
                <w:bCs/>
                <w:sz w:val="18"/>
                <w:szCs w:val="18"/>
                <w:highlight w:val="green"/>
                <w:lang w:eastAsia="zh-TW"/>
              </w:rPr>
              <w:t>Index </w:t>
            </w:r>
          </w:p>
        </w:tc>
        <w:tc>
          <w:tcPr>
            <w:tcW w:w="2204" w:type="dxa"/>
            <w:tcBorders>
              <w:top w:val="single" w:color="ABABAB" w:sz="6" w:space="0"/>
              <w:left w:val="single" w:color="ABABAB" w:sz="6" w:space="0"/>
              <w:bottom w:val="single" w:color="ABABAB" w:sz="6" w:space="0"/>
              <w:right w:val="single" w:color="ABABAB" w:sz="6" w:space="0"/>
            </w:tcBorders>
            <w:shd w:val="clear" w:color="auto" w:fill="FFFFFF"/>
          </w:tcPr>
          <w:p>
            <w:pPr>
              <w:jc w:val="center"/>
              <w:rPr>
                <w:rFonts w:eastAsia="Microsoft YaHei UI"/>
                <w:sz w:val="18"/>
                <w:szCs w:val="18"/>
                <w:highlight w:val="green"/>
                <w:lang w:eastAsia="zh-TW"/>
              </w:rPr>
            </w:pPr>
            <w:r>
              <w:rPr>
                <w:rFonts w:eastAsia="Microsoft YaHei UI"/>
                <w:b/>
                <w:bCs/>
                <w:sz w:val="18"/>
                <w:szCs w:val="18"/>
                <w:highlight w:val="green"/>
                <w:lang w:eastAsia="zh-TW"/>
              </w:rPr>
              <w:t>Feature group </w:t>
            </w:r>
          </w:p>
        </w:tc>
        <w:tc>
          <w:tcPr>
            <w:tcW w:w="3268" w:type="dxa"/>
            <w:tcBorders>
              <w:top w:val="single" w:color="ABABAB" w:sz="6" w:space="0"/>
              <w:left w:val="single" w:color="ABABAB" w:sz="6" w:space="0"/>
              <w:bottom w:val="single" w:color="ABABAB" w:sz="6" w:space="0"/>
              <w:right w:val="single" w:color="ABABAB" w:sz="6" w:space="0"/>
            </w:tcBorders>
            <w:shd w:val="clear" w:color="auto" w:fill="FFFFFF"/>
          </w:tcPr>
          <w:p>
            <w:pPr>
              <w:jc w:val="center"/>
              <w:rPr>
                <w:rFonts w:eastAsia="PMingLiU"/>
                <w:sz w:val="18"/>
                <w:szCs w:val="18"/>
                <w:highlight w:val="green"/>
                <w:lang w:eastAsia="zh-TW"/>
              </w:rPr>
            </w:pPr>
            <w:r>
              <w:rPr>
                <w:rFonts w:eastAsia="Microsoft YaHei UI"/>
                <w:b/>
                <w:bCs/>
                <w:sz w:val="18"/>
                <w:szCs w:val="18"/>
                <w:highlight w:val="green"/>
                <w:lang w:eastAsia="zh-TW"/>
              </w:rPr>
              <w:t>Components </w:t>
            </w:r>
          </w:p>
        </w:tc>
        <w:tc>
          <w:tcPr>
            <w:tcW w:w="1559" w:type="dxa"/>
            <w:tcBorders>
              <w:top w:val="single" w:color="ABABAB" w:sz="6" w:space="0"/>
              <w:left w:val="single" w:color="ABABAB" w:sz="6" w:space="0"/>
              <w:bottom w:val="single" w:color="ABABAB" w:sz="6" w:space="0"/>
              <w:right w:val="single" w:color="ABABAB" w:sz="6" w:space="0"/>
            </w:tcBorders>
            <w:shd w:val="clear" w:color="auto" w:fill="FFFFFF"/>
          </w:tcPr>
          <w:p>
            <w:pPr>
              <w:jc w:val="center"/>
              <w:rPr>
                <w:rFonts w:eastAsia="Microsoft YaHei UI"/>
                <w:sz w:val="18"/>
                <w:szCs w:val="18"/>
                <w:highlight w:val="green"/>
                <w:lang w:eastAsia="zh-TW"/>
              </w:rPr>
            </w:pPr>
            <w:r>
              <w:rPr>
                <w:rFonts w:eastAsia="Microsoft YaHei UI"/>
                <w:b/>
                <w:bCs/>
                <w:sz w:val="18"/>
                <w:szCs w:val="18"/>
                <w:highlight w:val="green"/>
                <w:lang w:eastAsia="zh-TW"/>
              </w:rPr>
              <w:t>Prerequisite feature groups </w:t>
            </w:r>
          </w:p>
        </w:tc>
      </w:tr>
      <w:tr>
        <w:tblPrEx>
          <w:shd w:val="clear" w:color="auto" w:fill="FFFFFF"/>
          <w:tblCellMar>
            <w:top w:w="0" w:type="dxa"/>
            <w:left w:w="108" w:type="dxa"/>
            <w:bottom w:w="0" w:type="dxa"/>
            <w:right w:w="108" w:type="dxa"/>
          </w:tblCellMar>
        </w:tblPrEx>
        <w:trPr>
          <w:trHeight w:val="838" w:hRule="atLeast"/>
        </w:trPr>
        <w:tc>
          <w:tcPr>
            <w:tcW w:w="1307" w:type="dxa"/>
            <w:tcBorders>
              <w:top w:val="single" w:color="ABABAB" w:sz="6" w:space="0"/>
              <w:left w:val="single" w:color="ABABAB" w:sz="6" w:space="0"/>
              <w:bottom w:val="single" w:color="ABABAB" w:sz="6" w:space="0"/>
              <w:right w:val="single" w:color="ABABAB" w:sz="6" w:space="0"/>
            </w:tcBorders>
            <w:shd w:val="clear" w:color="auto" w:fill="FFFFFF"/>
          </w:tcPr>
          <w:p>
            <w:pPr>
              <w:keepNext/>
              <w:keepLines/>
              <w:rPr>
                <w:rFonts w:ascii="Arial" w:hAnsi="Arial" w:cs="Arial" w:eastAsiaTheme="minorEastAsia"/>
                <w:sz w:val="18"/>
                <w:szCs w:val="18"/>
                <w:highlight w:val="green"/>
              </w:rPr>
            </w:pPr>
            <w:r>
              <w:rPr>
                <w:rFonts w:ascii="Arial" w:hAnsi="Arial" w:cs="Arial" w:eastAsiaTheme="minorEastAsia"/>
                <w:sz w:val="18"/>
                <w:szCs w:val="18"/>
                <w:highlight w:val="green"/>
              </w:rPr>
              <w:t>38. </w:t>
            </w:r>
          </w:p>
          <w:p>
            <w:pPr>
              <w:autoSpaceDN w:val="0"/>
              <w:adjustRightInd w:val="0"/>
              <w:snapToGrid w:val="0"/>
              <w:spacing w:after="120" w:afterLines="50"/>
              <w:contextualSpacing/>
              <w:rPr>
                <w:rFonts w:ascii="Arial" w:hAnsi="Arial" w:cs="Arial" w:eastAsiaTheme="minorEastAsia"/>
                <w:sz w:val="18"/>
                <w:szCs w:val="18"/>
                <w:highlight w:val="green"/>
              </w:rPr>
            </w:pPr>
            <w:r>
              <w:rPr>
                <w:rFonts w:ascii="Arial" w:hAnsi="Arial" w:cs="Arial" w:eastAsiaTheme="minorEastAsia"/>
                <w:sz w:val="18"/>
                <w:szCs w:val="18"/>
                <w:highlight w:val="green"/>
              </w:rPr>
              <w:t>NR_MC_enh </w:t>
            </w:r>
          </w:p>
        </w:tc>
        <w:tc>
          <w:tcPr>
            <w:tcW w:w="841" w:type="dxa"/>
            <w:tcBorders>
              <w:top w:val="single" w:color="ABABAB" w:sz="6" w:space="0"/>
              <w:left w:val="single" w:color="ABABAB" w:sz="6" w:space="0"/>
              <w:bottom w:val="single" w:color="ABABAB" w:sz="6" w:space="0"/>
              <w:right w:val="single" w:color="ABABAB" w:sz="6" w:space="0"/>
            </w:tcBorders>
            <w:shd w:val="clear" w:color="auto" w:fill="FFFFFF"/>
          </w:tcPr>
          <w:p>
            <w:pPr>
              <w:jc w:val="center"/>
              <w:rPr>
                <w:rFonts w:ascii="Arial" w:hAnsi="Arial" w:eastAsia="Microsoft YaHei UI" w:cs="Arial"/>
                <w:b/>
                <w:bCs/>
                <w:sz w:val="18"/>
                <w:szCs w:val="18"/>
                <w:highlight w:val="green"/>
                <w:lang w:eastAsia="zh-TW"/>
              </w:rPr>
            </w:pPr>
            <w:r>
              <w:rPr>
                <w:rFonts w:ascii="Arial" w:hAnsi="Arial" w:cs="Arial"/>
                <w:bCs/>
                <w:sz w:val="18"/>
                <w:szCs w:val="18"/>
                <w:highlight w:val="green"/>
              </w:rPr>
              <w:t>38-9</w:t>
            </w:r>
          </w:p>
        </w:tc>
        <w:tc>
          <w:tcPr>
            <w:tcW w:w="2204" w:type="dxa"/>
            <w:tcBorders>
              <w:top w:val="single" w:color="ABABAB" w:sz="6" w:space="0"/>
              <w:left w:val="single" w:color="ABABAB" w:sz="6" w:space="0"/>
              <w:bottom w:val="single" w:color="ABABAB" w:sz="6" w:space="0"/>
              <w:right w:val="single" w:color="ABABAB" w:sz="6" w:space="0"/>
            </w:tcBorders>
            <w:shd w:val="clear" w:color="auto" w:fill="FFFFFF"/>
          </w:tcPr>
          <w:p>
            <w:pPr>
              <w:rPr>
                <w:rFonts w:ascii="Arial" w:hAnsi="Arial" w:eastAsia="Microsoft YaHei UI" w:cs="Arial"/>
                <w:b/>
                <w:bCs/>
                <w:sz w:val="18"/>
                <w:szCs w:val="18"/>
                <w:highlight w:val="green"/>
                <w:lang w:eastAsia="zh-TW"/>
              </w:rPr>
            </w:pPr>
            <w:r>
              <w:rPr>
                <w:rFonts w:ascii="Arial" w:hAnsi="Arial" w:cs="Arial"/>
                <w:sz w:val="18"/>
                <w:szCs w:val="18"/>
                <w:highlight w:val="green"/>
              </w:rPr>
              <w:t xml:space="preserve">Dormant BWP switching on multiple CCs RRM requirements </w:t>
            </w:r>
            <w:r>
              <w:rPr>
                <w:rFonts w:ascii="Arial" w:hAnsi="Arial" w:cs="Arial"/>
                <w:sz w:val="18"/>
                <w:szCs w:val="18"/>
                <w:highlight w:val="green"/>
                <w:shd w:val="clear" w:color="auto" w:fill="FFFF00"/>
              </w:rPr>
              <w:t>with DCI 0-3/1-3</w:t>
            </w:r>
          </w:p>
        </w:tc>
        <w:tc>
          <w:tcPr>
            <w:tcW w:w="3268" w:type="dxa"/>
            <w:tcBorders>
              <w:top w:val="single" w:color="ABABAB" w:sz="6" w:space="0"/>
              <w:left w:val="single" w:color="ABABAB" w:sz="6" w:space="0"/>
              <w:bottom w:val="single" w:color="ABABAB" w:sz="6" w:space="0"/>
              <w:right w:val="single" w:color="ABABAB" w:sz="6" w:space="0"/>
            </w:tcBorders>
            <w:shd w:val="clear" w:color="auto" w:fill="FFFFFF"/>
          </w:tcPr>
          <w:p>
            <w:pPr>
              <w:rPr>
                <w:rFonts w:ascii="Arial" w:hAnsi="Arial" w:eastAsia="Microsoft YaHei UI" w:cs="Arial"/>
                <w:b/>
                <w:bCs/>
                <w:sz w:val="18"/>
                <w:szCs w:val="18"/>
                <w:highlight w:val="green"/>
                <w:lang w:eastAsia="zh-TW"/>
              </w:rPr>
            </w:pPr>
            <w:r>
              <w:rPr>
                <w:rFonts w:ascii="Arial" w:hAnsi="Arial" w:cs="Arial"/>
                <w:sz w:val="18"/>
                <w:szCs w:val="18"/>
                <w:highlight w:val="green"/>
              </w:rPr>
              <w:t>Incremental delay for BWP switch processing on additional SCells in DCI based simultaneous dormant BWP switching on multiple SCells</w:t>
            </w:r>
          </w:p>
        </w:tc>
        <w:tc>
          <w:tcPr>
            <w:tcW w:w="1559" w:type="dxa"/>
            <w:tcBorders>
              <w:top w:val="single" w:color="ABABAB" w:sz="6" w:space="0"/>
              <w:left w:val="single" w:color="ABABAB" w:sz="6" w:space="0"/>
              <w:bottom w:val="single" w:color="ABABAB" w:sz="6" w:space="0"/>
              <w:right w:val="single" w:color="ABABAB" w:sz="6" w:space="0"/>
            </w:tcBorders>
            <w:shd w:val="clear" w:color="auto" w:fill="FFFFFF"/>
          </w:tcPr>
          <w:p>
            <w:pPr>
              <w:rPr>
                <w:rFonts w:ascii="Arial" w:hAnsi="Arial" w:cs="Arial"/>
                <w:sz w:val="18"/>
                <w:szCs w:val="18"/>
                <w:highlight w:val="green"/>
              </w:rPr>
            </w:pPr>
            <w:r>
              <w:rPr>
                <w:rFonts w:ascii="Arial" w:hAnsi="Arial" w:cs="Arial"/>
                <w:sz w:val="18"/>
                <w:szCs w:val="18"/>
                <w:highlight w:val="green"/>
              </w:rPr>
              <w:t>49-9</w:t>
            </w:r>
          </w:p>
        </w:tc>
      </w:tr>
    </w:tbl>
    <w:p>
      <w:pPr>
        <w:tabs>
          <w:tab w:val="left" w:pos="1134"/>
        </w:tabs>
        <w:spacing w:before="163" w:beforeLines="50" w:after="120"/>
        <w:rPr>
          <w:rFonts w:hint="eastAsia"/>
          <w:sz w:val="20"/>
          <w:szCs w:val="20"/>
          <w:lang w:val="en-US" w:eastAsia="zh-CN"/>
        </w:rPr>
      </w:pPr>
      <w:r>
        <w:rPr>
          <w:rFonts w:hint="eastAsia"/>
          <w:sz w:val="20"/>
          <w:szCs w:val="20"/>
          <w:lang w:val="en-US" w:eastAsia="zh-CN"/>
        </w:rPr>
        <w:t>In legacy, we just have feature 6-3 and the value of D is same for each additional CC. Currently, Some companies think that it</w:t>
      </w:r>
      <w:r>
        <w:rPr>
          <w:rFonts w:hint="default"/>
          <w:sz w:val="20"/>
          <w:szCs w:val="20"/>
          <w:lang w:val="en-US" w:eastAsia="zh-CN"/>
        </w:rPr>
        <w:t>’</w:t>
      </w:r>
      <w:r>
        <w:rPr>
          <w:rFonts w:hint="eastAsia"/>
          <w:sz w:val="20"/>
          <w:szCs w:val="20"/>
          <w:lang w:val="en-US" w:eastAsia="zh-CN"/>
        </w:rPr>
        <w:t>s necessary to clarify whether different D values are allowed on additional CCs related to different UE capability reporting.</w:t>
      </w:r>
    </w:p>
    <w:p>
      <w:pPr>
        <w:tabs>
          <w:tab w:val="left" w:pos="1134"/>
        </w:tabs>
        <w:spacing w:before="163" w:beforeLines="50" w:after="120"/>
        <w:rPr>
          <w:rFonts w:hint="default"/>
          <w:sz w:val="20"/>
          <w:szCs w:val="20"/>
          <w:lang w:val="en-US" w:eastAsia="zh-CN"/>
        </w:rPr>
      </w:pPr>
      <w:r>
        <w:rPr>
          <w:rFonts w:hint="eastAsia"/>
          <w:sz w:val="20"/>
          <w:szCs w:val="20"/>
          <w:lang w:val="en-US" w:eastAsia="zh-CN"/>
        </w:rPr>
        <w:t>The definition of D has been copied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r>
              <w:rPr>
                <w:lang w:val="en-US" w:eastAsia="zh-CN"/>
              </w:rPr>
              <w:t xml:space="preserve">UE shall finish BWP switch within the time duration </w:t>
            </w:r>
            <w:r>
              <w:t>T</w:t>
            </w:r>
            <w:r>
              <w:rPr>
                <w:vertAlign w:val="subscript"/>
              </w:rPr>
              <w:t xml:space="preserve">MultipleBWPswitchDelay </w:t>
            </w:r>
            <w:r>
              <w:t>+ Y</w:t>
            </w:r>
            <w:r>
              <w:rPr>
                <w:vertAlign w:val="subscript"/>
              </w:rPr>
              <w:t>,</w:t>
            </w:r>
            <w:r>
              <w:t xml:space="preserve"> which is defined as:</w:t>
            </w:r>
          </w:p>
          <w:p>
            <w:pPr>
              <w:pStyle w:val="43"/>
            </w:pPr>
            <w:r>
              <w:tab/>
            </w:r>
            <w:r>
              <w:t>T</w:t>
            </w:r>
            <w:r>
              <w:rPr>
                <w:vertAlign w:val="subscript"/>
              </w:rPr>
              <w:t>MultipleBWPswitchDelay</w:t>
            </w:r>
            <w:r>
              <w:t xml:space="preserve"> = </w:t>
            </w:r>
            <w:r>
              <w:rPr>
                <w:lang w:eastAsia="zh-CN"/>
              </w:rPr>
              <w:t>T</w:t>
            </w:r>
            <w:r>
              <w:rPr>
                <w:vertAlign w:val="subscript"/>
                <w:lang w:eastAsia="zh-CN"/>
              </w:rPr>
              <w:t>BWPswitchDelay</w:t>
            </w:r>
            <w:r>
              <w:rPr>
                <w:lang w:eastAsia="zh-CN"/>
              </w:rPr>
              <w:t xml:space="preserve"> + D*(N-1)</w:t>
            </w:r>
          </w:p>
          <w:p>
            <w:pPr>
              <w:rPr>
                <w:lang w:val="en-US" w:eastAsia="zh-CN"/>
              </w:rPr>
            </w:pPr>
            <w:r>
              <w:rPr>
                <w:lang w:val="en-US" w:eastAsia="zh-CN"/>
              </w:rPr>
              <w:t>Where:</w:t>
            </w:r>
          </w:p>
          <w:p>
            <w:pPr>
              <w:pStyle w:val="50"/>
              <w:rPr>
                <w:lang w:val="en-US" w:eastAsia="zh-CN"/>
              </w:rPr>
            </w:pPr>
            <w:r>
              <w:rPr>
                <w:lang w:val="en-US" w:eastAsia="zh-CN"/>
              </w:rPr>
              <w:t>-</w:t>
            </w:r>
            <w:r>
              <w:rPr>
                <w:lang w:val="en-US" w:eastAsia="zh-CN"/>
              </w:rPr>
              <w:tab/>
            </w:r>
            <w:r>
              <w:rPr>
                <w:lang w:val="en-US" w:eastAsia="zh-CN"/>
              </w:rPr>
              <w:t>T</w:t>
            </w:r>
            <w:r>
              <w:rPr>
                <w:vertAlign w:val="subscript"/>
                <w:lang w:val="en-US" w:eastAsia="zh-CN"/>
              </w:rPr>
              <w:t>BWPswitchDelay</w:t>
            </w:r>
            <w:r>
              <w:rPr>
                <w:lang w:val="en-US" w:eastAsia="zh-CN"/>
              </w:rPr>
              <w:t xml:space="preserve"> is the BWP switching delay on single CC defined in Table 8.6.2-1 depending on UE capability </w:t>
            </w:r>
            <w:r>
              <w:rPr>
                <w:i/>
                <w:lang w:val="en-US" w:eastAsia="zh-CN"/>
              </w:rPr>
              <w:t>bwp-SwitchingDelay</w:t>
            </w:r>
            <w:r>
              <w:rPr>
                <w:lang w:val="en-US" w:eastAsia="zh-CN"/>
              </w:rPr>
              <w:t xml:space="preserve"> [2]. </w:t>
            </w:r>
            <w:r>
              <w:rPr>
                <w:lang w:eastAsia="zh-CN"/>
              </w:rPr>
              <w:t>T</w:t>
            </w:r>
            <w:r>
              <w:rPr>
                <w:vertAlign w:val="subscript"/>
                <w:lang w:eastAsia="zh-CN"/>
              </w:rPr>
              <w:t>BWPswitchDelay</w:t>
            </w:r>
            <w:r>
              <w:rPr>
                <w:lang w:eastAsia="zh-CN"/>
              </w:rPr>
              <w:t xml:space="preserve"> shall be based on the smallest SCS among SCS of all involved CCs before and after BWP switch. If the BWP switch on multiple CCs results in the change of the SCS on any CC among involved CCs, T</w:t>
            </w:r>
            <w:r>
              <w:rPr>
                <w:vertAlign w:val="subscript"/>
                <w:lang w:eastAsia="zh-CN"/>
              </w:rPr>
              <w:t>BWPswitchDelay</w:t>
            </w:r>
            <w:r>
              <w:rPr>
                <w:lang w:eastAsia="zh-CN"/>
              </w:rPr>
              <w:t xml:space="preserve"> shall be based on the smallest SCS among all SCS values of all involved CCs.</w:t>
            </w:r>
          </w:p>
          <w:p>
            <w:pPr>
              <w:pStyle w:val="50"/>
              <w:rPr>
                <w:sz w:val="24"/>
                <w:szCs w:val="24"/>
                <w:lang w:val="en-US" w:eastAsia="zh-CN"/>
              </w:rPr>
            </w:pPr>
            <w:r>
              <w:rPr>
                <w:lang w:val="en-US" w:eastAsia="zh-CN"/>
              </w:rPr>
              <w:t>-</w:t>
            </w:r>
            <w:r>
              <w:rPr>
                <w:lang w:val="en-US" w:eastAsia="zh-CN"/>
              </w:rPr>
              <w:tab/>
            </w:r>
            <w:r>
              <w:rPr>
                <w:lang w:val="en-US" w:eastAsia="zh-CN"/>
              </w:rPr>
              <w:t xml:space="preserve">D is the incremental delay for each additional CC involved in simultaneous BWP switch and depends on UE capability </w:t>
            </w:r>
            <w:r>
              <w:rPr>
                <w:i/>
                <w:lang w:val="en-US" w:eastAsia="zh-CN"/>
              </w:rPr>
              <w:t>bwp-SwitchingMultiCCs-r16</w:t>
            </w:r>
            <w:r>
              <w:rPr>
                <w:lang w:val="en-US" w:eastAsia="zh-CN"/>
              </w:rPr>
              <w:t xml:space="preserve"> [TS 38.306, 14] for switching between non-dormant BWPs, and </w:t>
            </w:r>
            <w:r>
              <w:rPr>
                <w:i/>
                <w:iCs/>
              </w:rPr>
              <w:t>bwp-SwitchingMultiDormancyCCs-r16</w:t>
            </w:r>
            <w:r>
              <w:t xml:space="preserve"> or </w:t>
            </w:r>
            <w:r>
              <w:rPr>
                <w:i/>
                <w:iCs/>
              </w:rPr>
              <w:t>bwp-SwitchingMultiDormancyCC-DCI-0-3-And-1-3-r18</w:t>
            </w:r>
            <w:r>
              <w:rPr>
                <w:lang w:val="en-US" w:eastAsia="zh-CN"/>
              </w:rPr>
              <w:t xml:space="preserve"> for switching between non-dormant and dormant BWPs.</w:t>
            </w:r>
          </w:p>
          <w:p>
            <w:pPr>
              <w:snapToGrid w:val="0"/>
              <w:spacing w:before="0" w:after="120" w:line="240" w:lineRule="auto"/>
              <w:jc w:val="both"/>
              <w:rPr>
                <w:sz w:val="21"/>
                <w:szCs w:val="21"/>
                <w:lang w:eastAsia="zh-CN"/>
              </w:rPr>
            </w:pPr>
          </w:p>
        </w:tc>
      </w:tr>
    </w:tbl>
    <w:p>
      <w:pPr>
        <w:tabs>
          <w:tab w:val="left" w:pos="1134"/>
        </w:tabs>
        <w:spacing w:before="163" w:beforeLines="50" w:after="120"/>
        <w:rPr>
          <w:rFonts w:hint="eastAsia"/>
          <w:sz w:val="20"/>
          <w:szCs w:val="20"/>
          <w:lang w:val="en-US" w:eastAsia="zh-CN"/>
        </w:rPr>
      </w:pPr>
      <w:r>
        <w:rPr>
          <w:rFonts w:hint="eastAsia"/>
          <w:sz w:val="20"/>
          <w:szCs w:val="20"/>
          <w:lang w:val="en-US" w:eastAsia="zh-CN"/>
        </w:rPr>
        <w:t>Legacy capability can be observed blew, e.g., feature 6-3.</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8"/>
        <w:gridCol w:w="803"/>
        <w:gridCol w:w="1864"/>
        <w:gridCol w:w="3315"/>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3" w:type="pct"/>
            <w:shd w:val="clear" w:color="auto" w:fill="auto"/>
          </w:tcPr>
          <w:p>
            <w:pPr>
              <w:pStyle w:val="35"/>
              <w:rPr>
                <w:i/>
                <w:iCs/>
              </w:rPr>
            </w:pPr>
            <w:r>
              <w:rPr>
                <w:i/>
                <w:iCs/>
              </w:rPr>
              <w:t>Features</w:t>
            </w:r>
          </w:p>
        </w:tc>
        <w:tc>
          <w:tcPr>
            <w:tcW w:w="403" w:type="pct"/>
            <w:shd w:val="clear" w:color="auto" w:fill="auto"/>
          </w:tcPr>
          <w:p>
            <w:pPr>
              <w:pStyle w:val="35"/>
              <w:rPr>
                <w:i/>
                <w:iCs/>
              </w:rPr>
            </w:pPr>
            <w:r>
              <w:rPr>
                <w:i/>
                <w:iCs/>
              </w:rPr>
              <w:t>Index</w:t>
            </w:r>
          </w:p>
        </w:tc>
        <w:tc>
          <w:tcPr>
            <w:tcW w:w="935" w:type="pct"/>
            <w:shd w:val="clear" w:color="auto" w:fill="auto"/>
          </w:tcPr>
          <w:p>
            <w:pPr>
              <w:pStyle w:val="35"/>
              <w:rPr>
                <w:i/>
                <w:iCs/>
              </w:rPr>
            </w:pPr>
            <w:r>
              <w:rPr>
                <w:i/>
                <w:iCs/>
              </w:rPr>
              <w:t>Feature group</w:t>
            </w:r>
          </w:p>
        </w:tc>
        <w:tc>
          <w:tcPr>
            <w:tcW w:w="1663" w:type="pct"/>
            <w:shd w:val="clear" w:color="auto" w:fill="auto"/>
          </w:tcPr>
          <w:p>
            <w:pPr>
              <w:pStyle w:val="35"/>
              <w:rPr>
                <w:i/>
                <w:iCs/>
              </w:rPr>
            </w:pPr>
            <w:r>
              <w:rPr>
                <w:i/>
                <w:iCs/>
              </w:rPr>
              <w:t>Components</w:t>
            </w:r>
          </w:p>
        </w:tc>
        <w:tc>
          <w:tcPr>
            <w:tcW w:w="814" w:type="pct"/>
            <w:shd w:val="clear" w:color="auto" w:fill="auto"/>
          </w:tcPr>
          <w:p>
            <w:pPr>
              <w:pStyle w:val="35"/>
              <w:rPr>
                <w:i/>
                <w:iCs/>
              </w:rPr>
            </w:pPr>
            <w:r>
              <w:rPr>
                <w:i/>
                <w:iCs/>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3" w:type="pct"/>
            <w:shd w:val="clear" w:color="auto" w:fill="auto"/>
          </w:tcPr>
          <w:p>
            <w:pPr>
              <w:pStyle w:val="37"/>
              <w:rPr>
                <w:i/>
                <w:iCs/>
              </w:rPr>
            </w:pPr>
            <w:r>
              <w:rPr>
                <w:i/>
                <w:iCs/>
                <w:lang w:val="sv-SE"/>
              </w:rPr>
              <w:t>6. LTE_NR_DC_CA_enh</w:t>
            </w:r>
          </w:p>
        </w:tc>
        <w:tc>
          <w:tcPr>
            <w:tcW w:w="403" w:type="pct"/>
            <w:shd w:val="clear" w:color="auto" w:fill="auto"/>
          </w:tcPr>
          <w:p>
            <w:pPr>
              <w:pStyle w:val="37"/>
              <w:rPr>
                <w:i/>
                <w:iCs/>
              </w:rPr>
            </w:pPr>
            <w:r>
              <w:rPr>
                <w:rFonts w:hint="eastAsia"/>
                <w:i/>
                <w:iCs/>
              </w:rPr>
              <w:t>6-3</w:t>
            </w:r>
          </w:p>
        </w:tc>
        <w:tc>
          <w:tcPr>
            <w:tcW w:w="935" w:type="pct"/>
            <w:shd w:val="clear" w:color="auto" w:fill="auto"/>
          </w:tcPr>
          <w:p>
            <w:pPr>
              <w:pStyle w:val="37"/>
              <w:rPr>
                <w:i/>
                <w:iCs/>
              </w:rPr>
            </w:pPr>
            <w:r>
              <w:rPr>
                <w:i/>
                <w:iCs/>
              </w:rPr>
              <w:t>Dormant BWP switching on multiple CCs RRM requirements</w:t>
            </w:r>
          </w:p>
        </w:tc>
        <w:tc>
          <w:tcPr>
            <w:tcW w:w="1663" w:type="pct"/>
            <w:shd w:val="clear" w:color="auto" w:fill="auto"/>
          </w:tcPr>
          <w:p>
            <w:pPr>
              <w:autoSpaceDN w:val="0"/>
              <w:adjustRightInd w:val="0"/>
              <w:snapToGrid w:val="0"/>
              <w:spacing w:after="120" w:afterLines="50"/>
              <w:contextualSpacing/>
              <w:jc w:val="both"/>
              <w:rPr>
                <w:rFonts w:ascii="Arial" w:hAnsi="Arial" w:cs="Arial" w:eastAsiaTheme="minorEastAsia"/>
                <w:i/>
                <w:iCs/>
                <w:sz w:val="18"/>
              </w:rPr>
            </w:pPr>
            <w:r>
              <w:rPr>
                <w:rFonts w:ascii="Arial" w:hAnsi="Arial" w:cs="Arial"/>
                <w:i/>
                <w:iCs/>
                <w:sz w:val="18"/>
              </w:rPr>
              <w:t>Incremental delay for BWP switch processing on additional SCells in DCI based simultaneous dormant BWP switching on multiple SCells</w:t>
            </w:r>
          </w:p>
        </w:tc>
        <w:tc>
          <w:tcPr>
            <w:tcW w:w="814" w:type="pct"/>
            <w:shd w:val="clear" w:color="auto" w:fill="auto"/>
          </w:tcPr>
          <w:p>
            <w:pPr>
              <w:pStyle w:val="37"/>
              <w:rPr>
                <w:i/>
                <w:iCs/>
              </w:rPr>
            </w:pPr>
            <w:r>
              <w:rPr>
                <w:i/>
                <w:iCs/>
              </w:rPr>
              <w:t xml:space="preserve">RAN1 feature </w:t>
            </w:r>
            <w:r>
              <w:rPr>
                <w:i/>
                <w:iCs/>
                <w:highlight w:val="yellow"/>
              </w:rPr>
              <w:t xml:space="preserve">18-4 </w:t>
            </w:r>
            <w:r>
              <w:rPr>
                <w:rFonts w:hint="eastAsia"/>
                <w:i/>
                <w:iCs/>
                <w:highlight w:val="yellow"/>
              </w:rPr>
              <w:t>or</w:t>
            </w:r>
            <w:r>
              <w:rPr>
                <w:i/>
                <w:iCs/>
                <w:highlight w:val="yellow"/>
              </w:rPr>
              <w:t xml:space="preserve"> 18-4a</w:t>
            </w:r>
          </w:p>
          <w:p>
            <w:pPr>
              <w:pStyle w:val="37"/>
              <w:rPr>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3" w:type="pct"/>
            <w:tcBorders>
              <w:top w:val="single" w:color="auto" w:sz="4" w:space="0"/>
              <w:left w:val="single" w:color="auto" w:sz="4" w:space="0"/>
              <w:bottom w:val="single" w:color="auto" w:sz="4" w:space="0"/>
              <w:right w:val="single" w:color="auto" w:sz="4" w:space="0"/>
            </w:tcBorders>
            <w:shd w:val="clear" w:color="auto" w:fill="auto"/>
          </w:tcPr>
          <w:p>
            <w:pPr>
              <w:pStyle w:val="37"/>
              <w:rPr>
                <w:i/>
                <w:iCs/>
                <w:lang w:val="sv-SE"/>
              </w:rPr>
            </w:pPr>
            <w:r>
              <w:rPr>
                <w:i/>
                <w:iCs/>
                <w:lang w:val="sv-SE"/>
              </w:rPr>
              <w:t>18. MR-DC/CA enhancement</w:t>
            </w:r>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37"/>
              <w:rPr>
                <w:i/>
                <w:iCs/>
              </w:rPr>
            </w:pPr>
            <w:r>
              <w:rPr>
                <w:i/>
                <w:iCs/>
              </w:rPr>
              <w:t>18-4</w:t>
            </w:r>
          </w:p>
        </w:tc>
        <w:tc>
          <w:tcPr>
            <w:tcW w:w="935" w:type="pct"/>
            <w:tcBorders>
              <w:top w:val="single" w:color="auto" w:sz="4" w:space="0"/>
              <w:left w:val="single" w:color="auto" w:sz="4" w:space="0"/>
              <w:bottom w:val="single" w:color="auto" w:sz="4" w:space="0"/>
              <w:right w:val="single" w:color="auto" w:sz="4" w:space="0"/>
            </w:tcBorders>
            <w:shd w:val="clear" w:color="auto" w:fill="auto"/>
          </w:tcPr>
          <w:p>
            <w:pPr>
              <w:pStyle w:val="37"/>
              <w:rPr>
                <w:i/>
                <w:iCs/>
              </w:rPr>
            </w:pPr>
            <w:r>
              <w:rPr>
                <w:i/>
                <w:iCs/>
              </w:rPr>
              <w:t>SCell dormancy indication within active time</w:t>
            </w:r>
          </w:p>
        </w:tc>
        <w:tc>
          <w:tcPr>
            <w:tcW w:w="1663" w:type="pct"/>
            <w:tcBorders>
              <w:top w:val="single" w:color="auto" w:sz="4" w:space="0"/>
              <w:left w:val="single" w:color="auto" w:sz="4" w:space="0"/>
              <w:bottom w:val="single" w:color="auto" w:sz="4" w:space="0"/>
              <w:right w:val="single" w:color="auto" w:sz="4" w:space="0"/>
            </w:tcBorders>
            <w:shd w:val="clear" w:color="auto" w:fill="auto"/>
          </w:tcPr>
          <w:p>
            <w:pPr>
              <w:autoSpaceDN w:val="0"/>
              <w:adjustRightInd w:val="0"/>
              <w:snapToGrid w:val="0"/>
              <w:spacing w:after="120" w:afterLines="50"/>
              <w:contextualSpacing/>
              <w:jc w:val="both"/>
              <w:rPr>
                <w:rFonts w:ascii="Arial" w:hAnsi="Arial" w:cs="Arial"/>
                <w:i/>
                <w:iCs/>
                <w:sz w:val="18"/>
              </w:rPr>
            </w:pPr>
            <w:r>
              <w:rPr>
                <w:rFonts w:ascii="Arial" w:hAnsi="Arial" w:cs="Arial"/>
                <w:i/>
                <w:iCs/>
                <w:sz w:val="18"/>
              </w:rPr>
              <w:t xml:space="preserve">Support for SCell dormancy indication sent within the active time on PCell with DCI </w:t>
            </w:r>
            <w:r>
              <w:rPr>
                <w:rFonts w:ascii="Arial" w:hAnsi="Arial" w:cs="Arial"/>
                <w:i/>
                <w:iCs/>
                <w:sz w:val="18"/>
                <w:highlight w:val="yellow"/>
              </w:rPr>
              <w:t>format 0_1/1_1</w:t>
            </w:r>
          </w:p>
        </w:tc>
        <w:tc>
          <w:tcPr>
            <w:tcW w:w="814" w:type="pct"/>
            <w:tcBorders>
              <w:top w:val="single" w:color="auto" w:sz="4" w:space="0"/>
              <w:left w:val="single" w:color="auto" w:sz="4" w:space="0"/>
              <w:bottom w:val="single" w:color="auto" w:sz="4" w:space="0"/>
              <w:right w:val="single" w:color="auto" w:sz="4" w:space="0"/>
            </w:tcBorders>
            <w:shd w:val="clear" w:color="auto" w:fill="auto"/>
          </w:tcPr>
          <w:p>
            <w:pPr>
              <w:pStyle w:val="37"/>
              <w:rPr>
                <w:i/>
                <w:iCs/>
              </w:rPr>
            </w:pPr>
            <w:r>
              <w:rPr>
                <w:i/>
                <w:iCs/>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3" w:type="pct"/>
            <w:tcBorders>
              <w:top w:val="single" w:color="auto" w:sz="4" w:space="0"/>
              <w:left w:val="single" w:color="auto" w:sz="4" w:space="0"/>
              <w:bottom w:val="single" w:color="auto" w:sz="4" w:space="0"/>
              <w:right w:val="single" w:color="auto" w:sz="4" w:space="0"/>
            </w:tcBorders>
            <w:shd w:val="clear" w:color="auto" w:fill="auto"/>
          </w:tcPr>
          <w:p>
            <w:pPr>
              <w:pStyle w:val="37"/>
              <w:rPr>
                <w:i/>
                <w:iCs/>
                <w:lang w:val="sv-SE"/>
              </w:rPr>
            </w:pPr>
            <w:r>
              <w:rPr>
                <w:i/>
                <w:iCs/>
                <w:lang w:val="sv-SE"/>
              </w:rPr>
              <w:t>18. MR-DC/CA enhancement</w:t>
            </w:r>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37"/>
              <w:rPr>
                <w:i/>
                <w:iCs/>
              </w:rPr>
            </w:pPr>
            <w:r>
              <w:rPr>
                <w:i/>
                <w:iCs/>
              </w:rPr>
              <w:t>18-4a</w:t>
            </w:r>
          </w:p>
        </w:tc>
        <w:tc>
          <w:tcPr>
            <w:tcW w:w="935" w:type="pct"/>
            <w:tcBorders>
              <w:top w:val="single" w:color="auto" w:sz="4" w:space="0"/>
              <w:left w:val="single" w:color="auto" w:sz="4" w:space="0"/>
              <w:bottom w:val="single" w:color="auto" w:sz="4" w:space="0"/>
              <w:right w:val="single" w:color="auto" w:sz="4" w:space="0"/>
            </w:tcBorders>
            <w:shd w:val="clear" w:color="auto" w:fill="auto"/>
          </w:tcPr>
          <w:p>
            <w:pPr>
              <w:pStyle w:val="37"/>
              <w:rPr>
                <w:i/>
                <w:iCs/>
              </w:rPr>
            </w:pPr>
            <w:r>
              <w:rPr>
                <w:i/>
                <w:iCs/>
              </w:rPr>
              <w:t>SCell dormancy indication outside active time</w:t>
            </w:r>
          </w:p>
        </w:tc>
        <w:tc>
          <w:tcPr>
            <w:tcW w:w="1663" w:type="pct"/>
            <w:tcBorders>
              <w:top w:val="single" w:color="auto" w:sz="4" w:space="0"/>
              <w:left w:val="single" w:color="auto" w:sz="4" w:space="0"/>
              <w:bottom w:val="single" w:color="auto" w:sz="4" w:space="0"/>
              <w:right w:val="single" w:color="auto" w:sz="4" w:space="0"/>
            </w:tcBorders>
            <w:shd w:val="clear" w:color="auto" w:fill="auto"/>
          </w:tcPr>
          <w:p>
            <w:pPr>
              <w:autoSpaceDN w:val="0"/>
              <w:adjustRightInd w:val="0"/>
              <w:snapToGrid w:val="0"/>
              <w:spacing w:after="120" w:afterLines="50"/>
              <w:contextualSpacing/>
              <w:jc w:val="both"/>
              <w:rPr>
                <w:rFonts w:ascii="Arial" w:hAnsi="Arial" w:cs="Arial"/>
                <w:i/>
                <w:iCs/>
                <w:sz w:val="18"/>
              </w:rPr>
            </w:pPr>
            <w:r>
              <w:rPr>
                <w:rFonts w:ascii="Arial" w:hAnsi="Arial" w:cs="Arial"/>
                <w:i/>
                <w:iCs/>
                <w:sz w:val="18"/>
              </w:rPr>
              <w:t xml:space="preserve">Support for SCell dormancy indication sent outside the active time on PCell with DCI </w:t>
            </w:r>
            <w:r>
              <w:rPr>
                <w:rFonts w:ascii="Arial" w:hAnsi="Arial" w:cs="Arial"/>
                <w:i/>
                <w:iCs/>
                <w:sz w:val="18"/>
                <w:highlight w:val="yellow"/>
              </w:rPr>
              <w:t>format 2_6</w:t>
            </w:r>
          </w:p>
        </w:tc>
        <w:tc>
          <w:tcPr>
            <w:tcW w:w="814" w:type="pct"/>
            <w:tcBorders>
              <w:top w:val="single" w:color="auto" w:sz="4" w:space="0"/>
              <w:left w:val="single" w:color="auto" w:sz="4" w:space="0"/>
              <w:bottom w:val="single" w:color="auto" w:sz="4" w:space="0"/>
              <w:right w:val="single" w:color="auto" w:sz="4" w:space="0"/>
            </w:tcBorders>
            <w:shd w:val="clear" w:color="auto" w:fill="auto"/>
          </w:tcPr>
          <w:p>
            <w:pPr>
              <w:pStyle w:val="37"/>
              <w:rPr>
                <w:i/>
                <w:iCs/>
              </w:rPr>
            </w:pPr>
            <w:r>
              <w:rPr>
                <w:i/>
                <w:iCs/>
              </w:rPr>
              <w:t>19-1</w:t>
            </w:r>
          </w:p>
        </w:tc>
      </w:tr>
    </w:tbl>
    <w:p>
      <w:pPr>
        <w:tabs>
          <w:tab w:val="left" w:pos="1134"/>
        </w:tabs>
        <w:spacing w:before="163" w:beforeLines="50" w:after="120"/>
        <w:rPr>
          <w:rFonts w:hint="eastAsia"/>
          <w:lang w:val="en-US" w:eastAsia="zh-CN"/>
        </w:rPr>
      </w:pPr>
      <w:r>
        <w:rPr>
          <w:rFonts w:hint="eastAsia"/>
          <w:sz w:val="20"/>
          <w:szCs w:val="20"/>
          <w:lang w:val="en-US" w:eastAsia="zh-CN"/>
        </w:rPr>
        <w:t xml:space="preserve">In our understanding, </w:t>
      </w:r>
      <w:r>
        <w:rPr>
          <w:lang w:eastAsia="zh-CN"/>
        </w:rPr>
        <w:t xml:space="preserve">this is not to introduce additional delay, but the legacy delay is also applicable to the new DCI format scenario. For </w:t>
      </w:r>
      <w:r>
        <w:rPr>
          <w:rFonts w:hint="eastAsia"/>
          <w:lang w:val="en-US" w:eastAsia="zh-CN"/>
        </w:rPr>
        <w:t xml:space="preserve">TS </w:t>
      </w:r>
      <w:r>
        <w:rPr>
          <w:lang w:eastAsia="zh-CN"/>
        </w:rPr>
        <w:t>38.133, just to add the new IE if go with approach 2.</w:t>
      </w:r>
      <w:r>
        <w:rPr>
          <w:rFonts w:hint="eastAsia"/>
          <w:lang w:val="en-US" w:eastAsia="zh-CN"/>
        </w:rPr>
        <w:t xml:space="preserve"> If it is up to UE whether to report the same or different values for the Rel-18 capability and the legacy capability, maybe there are some modifications on requirements. We perfer not to do any change in the existing requirements and the same vlaue of D for the Rel-18 capability and the legacy capability.</w:t>
      </w:r>
    </w:p>
    <w:p>
      <w:pPr>
        <w:tabs>
          <w:tab w:val="left" w:pos="1134"/>
        </w:tabs>
        <w:spacing w:before="163" w:beforeLines="50" w:after="120"/>
        <w:rPr>
          <w:rFonts w:hint="default"/>
          <w:b/>
          <w:bCs/>
          <w:sz w:val="20"/>
          <w:szCs w:val="20"/>
          <w:lang w:val="en-US" w:eastAsia="zh-CN"/>
        </w:rPr>
      </w:pPr>
      <w:r>
        <w:rPr>
          <w:rFonts w:hint="eastAsia"/>
          <w:b/>
          <w:bCs/>
          <w:sz w:val="20"/>
          <w:szCs w:val="20"/>
          <w:lang w:val="en-US" w:eastAsia="zh-CN"/>
        </w:rPr>
        <w:t xml:space="preserve">Proposal: </w:t>
      </w:r>
      <w:r>
        <w:rPr>
          <w:rFonts w:hint="eastAsia"/>
          <w:b/>
          <w:bCs/>
          <w:lang w:val="en-US" w:eastAsia="zh-CN"/>
        </w:rPr>
        <w:t>perfer not to do any change in the existing requirements and the same vlaue of D for the Rel-18 capability and the legacy capability.</w:t>
      </w:r>
    </w:p>
    <w:bookmarkEnd w:id="2"/>
    <w:bookmarkEnd w:id="3"/>
    <w:bookmarkEnd w:id="4"/>
    <w:bookmarkEnd w:id="5"/>
    <w:p>
      <w:pPr>
        <w:pStyle w:val="55"/>
        <w:tabs>
          <w:tab w:val="left" w:pos="567"/>
          <w:tab w:val="left" w:pos="3014"/>
          <w:tab w:val="clear" w:pos="1985"/>
        </w:tabs>
        <w:adjustRightInd w:val="0"/>
        <w:ind w:left="510" w:hanging="510"/>
        <w:rPr>
          <w:highlight w:val="none"/>
        </w:rPr>
      </w:pPr>
      <w:r>
        <w:rPr>
          <w:highlight w:val="none"/>
        </w:rPr>
        <w:t>Conclusions</w:t>
      </w:r>
      <w:r>
        <w:rPr>
          <w:rFonts w:hint="eastAsia"/>
          <w:highlight w:val="none"/>
          <w:lang w:eastAsia="zh-CN"/>
        </w:rPr>
        <w:tab/>
      </w:r>
    </w:p>
    <w:p>
      <w:pPr>
        <w:tabs>
          <w:tab w:val="left" w:pos="1134"/>
        </w:tabs>
        <w:spacing w:before="163" w:beforeLines="50" w:after="120"/>
        <w:rPr>
          <w:rFonts w:hint="eastAsia"/>
          <w:sz w:val="20"/>
          <w:szCs w:val="20"/>
        </w:rPr>
      </w:pPr>
      <w:r>
        <w:rPr>
          <w:rFonts w:hint="eastAsia"/>
          <w:sz w:val="20"/>
          <w:szCs w:val="20"/>
        </w:rPr>
        <w:t xml:space="preserve">In this contribution, we discuss the RRM </w:t>
      </w:r>
      <w:r>
        <w:rPr>
          <w:rFonts w:hint="eastAsia"/>
          <w:bCs/>
          <w:sz w:val="20"/>
          <w:szCs w:val="20"/>
        </w:rPr>
        <w:t xml:space="preserve">requirements </w:t>
      </w:r>
      <w:r>
        <w:rPr>
          <w:rFonts w:hint="eastAsia"/>
          <w:sz w:val="20"/>
          <w:szCs w:val="20"/>
        </w:rPr>
        <w:t>for Rel-18 Tx switching and propose that:</w:t>
      </w:r>
    </w:p>
    <w:p>
      <w:pPr>
        <w:tabs>
          <w:tab w:val="left" w:pos="1134"/>
        </w:tabs>
        <w:spacing w:before="163" w:beforeLines="50" w:after="120"/>
        <w:rPr>
          <w:rFonts w:hint="eastAsia"/>
          <w:sz w:val="20"/>
          <w:szCs w:val="20"/>
        </w:rPr>
      </w:pPr>
      <w:r>
        <w:rPr>
          <w:rFonts w:hint="eastAsia"/>
          <w:b/>
          <w:bCs/>
          <w:sz w:val="20"/>
          <w:szCs w:val="20"/>
          <w:lang w:val="en-US" w:eastAsia="zh-CN"/>
        </w:rPr>
        <w:t xml:space="preserve">Proposal: </w:t>
      </w:r>
      <w:r>
        <w:rPr>
          <w:rFonts w:hint="eastAsia"/>
          <w:b/>
          <w:bCs/>
          <w:lang w:val="en-US" w:eastAsia="zh-CN"/>
        </w:rPr>
        <w:t>perfer not to do any change in the existing requirement and the same vlaue of D for the Rel-18 capability and the legacy capability.</w:t>
      </w:r>
    </w:p>
    <w:p>
      <w:pPr>
        <w:pStyle w:val="55"/>
        <w:tabs>
          <w:tab w:val="left" w:pos="567"/>
          <w:tab w:val="clear" w:pos="1985"/>
        </w:tabs>
        <w:adjustRightInd w:val="0"/>
        <w:ind w:left="510" w:hanging="510"/>
        <w:rPr>
          <w:highlight w:val="none"/>
        </w:rPr>
      </w:pPr>
      <w:r>
        <w:rPr>
          <w:highlight w:val="none"/>
        </w:rPr>
        <w:t>References</w:t>
      </w:r>
    </w:p>
    <w:p>
      <w:pPr>
        <w:keepLines/>
        <w:widowControl/>
        <w:numPr>
          <w:ilvl w:val="0"/>
          <w:numId w:val="2"/>
        </w:numPr>
        <w:spacing w:after="18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GB" w:eastAsia="en-US" w:bidi="ar-SA"/>
        </w:rPr>
        <w:fldChar w:fldCharType="begin"/>
      </w:r>
      <w:r>
        <w:rPr>
          <w:rFonts w:hint="eastAsia" w:ascii="Times New Roman" w:hAnsi="Times New Roman" w:eastAsia="宋体" w:cs="Times New Roman"/>
          <w:sz w:val="20"/>
          <w:szCs w:val="20"/>
          <w:lang w:val="en-GB" w:eastAsia="en-US" w:bidi="ar-SA"/>
        </w:rPr>
        <w:instrText xml:space="preserve"> HYPERLINK "ftp://10.10.10.10/ftp/tsg_ran/WG4_Radio/TSGR4_112bis/Inbox/R4-2416878.zip" </w:instrText>
      </w:r>
      <w:r>
        <w:rPr>
          <w:rFonts w:hint="eastAsia" w:ascii="Times New Roman" w:hAnsi="Times New Roman" w:eastAsia="宋体" w:cs="Times New Roman"/>
          <w:sz w:val="20"/>
          <w:szCs w:val="20"/>
          <w:lang w:val="en-GB" w:eastAsia="en-US" w:bidi="ar-SA"/>
        </w:rPr>
        <w:fldChar w:fldCharType="separate"/>
      </w:r>
      <w:r>
        <w:rPr>
          <w:rFonts w:hint="eastAsia" w:ascii="Times New Roman" w:hAnsi="Times New Roman" w:eastAsia="宋体" w:cs="Times New Roman"/>
          <w:sz w:val="20"/>
          <w:szCs w:val="20"/>
          <w:lang w:val="en-GB" w:eastAsia="en-US" w:bidi="ar-SA"/>
        </w:rPr>
        <w:t>R4-2416878</w:t>
      </w:r>
      <w:r>
        <w:rPr>
          <w:rFonts w:hint="eastAsia" w:ascii="Times New Roman" w:hAnsi="Times New Roman" w:eastAsia="宋体" w:cs="Times New Roman"/>
          <w:sz w:val="20"/>
          <w:szCs w:val="20"/>
          <w:lang w:val="en-GB" w:eastAsia="en-US" w:bidi="ar-SA"/>
        </w:rPr>
        <w:fldChar w:fldCharType="end"/>
      </w:r>
      <w:r>
        <w:rPr>
          <w:rFonts w:hint="eastAsia" w:ascii="Times New Roman" w:hAnsi="Times New Roman" w:eastAsia="宋体" w:cs="Times New Roman"/>
          <w:sz w:val="20"/>
          <w:szCs w:val="20"/>
          <w:lang w:val="en-GB" w:eastAsia="en-US" w:bidi="ar-SA"/>
        </w:rPr>
        <w:t>, WF on UE report of incremental BWP switch delay for multi-carrier enhancements</w:t>
      </w:r>
      <w:r>
        <w:rPr>
          <w:rFonts w:hint="eastAsia" w:cs="Times New Roman"/>
          <w:sz w:val="20"/>
          <w:szCs w:val="20"/>
          <w:lang w:val="en-US" w:eastAsia="zh-CN" w:bidi="ar-SA"/>
        </w:rPr>
        <w:t>, NTT DOCOMO</w:t>
      </w: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069BD"/>
    <w:multiLevelType w:val="multilevel"/>
    <w:tmpl w:val="038069BD"/>
    <w:lvl w:ilvl="0" w:tentative="0">
      <w:start w:val="1"/>
      <w:numFmt w:val="decimal"/>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828CF"/>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B2DEC"/>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0A5A4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C6071"/>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03AC5"/>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25456D"/>
    <w:rsid w:val="44336EAB"/>
    <w:rsid w:val="44393BD3"/>
    <w:rsid w:val="443E43CB"/>
    <w:rsid w:val="444014DC"/>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1FCD"/>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DB4D1B"/>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76A07"/>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3647D"/>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4F24EC"/>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495B2A"/>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B41FB"/>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88050F"/>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95B47"/>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72AF8"/>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11C04"/>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382AD7"/>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6</TotalTime>
  <ScaleCrop>false</ScaleCrop>
  <LinksUpToDate>false</LinksUpToDate>
  <CharactersWithSpaces>5088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2024-11-08T09:02:14Z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751585BBD6EF4FC7B59AF433DB6031FE</vt:lpwstr>
  </property>
</Properties>
</file>